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16" w:rsidRDefault="00914A8E" w:rsidP="00914A8E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Reading guidelines for Lecture 0</w:t>
      </w:r>
      <w:r>
        <w:rPr>
          <w:rFonts w:hint="eastAsia"/>
          <w:b/>
          <w:kern w:val="0"/>
          <w:sz w:val="28"/>
          <w:szCs w:val="28"/>
        </w:rPr>
        <w:t>8</w:t>
      </w:r>
      <w:r>
        <w:rPr>
          <w:b/>
          <w:kern w:val="0"/>
          <w:sz w:val="28"/>
          <w:szCs w:val="28"/>
        </w:rPr>
        <w:t xml:space="preserve">: </w:t>
      </w:r>
      <w:r>
        <w:rPr>
          <w:rFonts w:hint="eastAsia"/>
          <w:b/>
          <w:kern w:val="0"/>
          <w:sz w:val="28"/>
          <w:szCs w:val="28"/>
        </w:rPr>
        <w:t>Australian monsoon and its relationship with ENSO</w:t>
      </w:r>
    </w:p>
    <w:p w:rsidR="00BB4EBB" w:rsidRPr="00BB4EBB" w:rsidRDefault="00BB4EBB" w:rsidP="00BB4EBB">
      <w:pPr>
        <w:pStyle w:val="a3"/>
        <w:spacing w:beforeLines="50" w:before="180"/>
        <w:ind w:leftChars="0" w:left="360"/>
        <w:rPr>
          <w:b/>
          <w:szCs w:val="24"/>
        </w:rPr>
      </w:pPr>
      <w:r w:rsidRPr="00BB4EBB">
        <w:rPr>
          <w:rFonts w:hint="eastAsia"/>
          <w:b/>
          <w:szCs w:val="24"/>
        </w:rPr>
        <w:t>Part 1: synoptic climatology</w:t>
      </w:r>
    </w:p>
    <w:p w:rsidR="005408FB" w:rsidRDefault="005408FB" w:rsidP="00BB4EBB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The South Pacific Convergent Zone (also a TCZ) is the mimic of </w:t>
      </w:r>
      <w:proofErr w:type="spellStart"/>
      <w:r>
        <w:rPr>
          <w:rFonts w:hint="eastAsia"/>
          <w:szCs w:val="24"/>
        </w:rPr>
        <w:t>Meiyu</w:t>
      </w:r>
      <w:proofErr w:type="spellEnd"/>
      <w:r>
        <w:rPr>
          <w:rFonts w:hint="eastAsia"/>
          <w:szCs w:val="24"/>
        </w:rPr>
        <w:t xml:space="preserve"> front in the southern hemisphere.</w:t>
      </w:r>
    </w:p>
    <w:p w:rsidR="00914A8E" w:rsidRDefault="005F5EF9" w:rsidP="005408FB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Two aspects of the atmospheric circulation over the Australian region are noteworthy (see Fig. 7.5).</w:t>
      </w:r>
    </w:p>
    <w:p w:rsidR="005F5EF9" w:rsidRDefault="00104E08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low-level cross-equatorial flows occur in three longitudinal segments.</w:t>
      </w:r>
    </w:p>
    <w:p w:rsidR="00104E08" w:rsidRDefault="00104E08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How to identify the summer monsoon onset at Darwin and the grand onset over the Australian mainland?</w:t>
      </w:r>
    </w:p>
    <w:p w:rsidR="00104E08" w:rsidRDefault="00104E08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When the summer monsoon onsets, the northwesterly flow at low level is accompanied by the easterly flow at upper level.</w:t>
      </w:r>
    </w:p>
    <w:p w:rsidR="00104E08" w:rsidRDefault="00104E08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What is the thermal wind?</w:t>
      </w:r>
    </w:p>
    <w:p w:rsidR="00BC6BA7" w:rsidRDefault="00F93ACE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Notions should be given to describe the picture when the monsoon and Hadley circulations coexist during the Austral summer monsoon season (see Fig. 7.9</w:t>
      </w:r>
      <w:r w:rsidR="00AC2B30">
        <w:rPr>
          <w:rFonts w:hint="eastAsia"/>
          <w:szCs w:val="24"/>
        </w:rPr>
        <w:t xml:space="preserve"> and Table 7.1</w:t>
      </w:r>
      <w:r>
        <w:rPr>
          <w:rFonts w:hint="eastAsia"/>
          <w:szCs w:val="24"/>
        </w:rPr>
        <w:t>).</w:t>
      </w:r>
      <w:r w:rsidR="00327771">
        <w:rPr>
          <w:rFonts w:hint="eastAsia"/>
          <w:szCs w:val="24"/>
        </w:rPr>
        <w:t xml:space="preserve"> What are the implications behind these values of cross-equatorial fluxes shown in Table 7.1?</w:t>
      </w:r>
    </w:p>
    <w:p w:rsidR="00F93ACE" w:rsidRDefault="00327771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Why the outgoing longwave radiation (OLR) </w:t>
      </w:r>
      <w:r w:rsidR="00F14F8F">
        <w:rPr>
          <w:rFonts w:hint="eastAsia"/>
          <w:szCs w:val="24"/>
        </w:rPr>
        <w:t>is used to represent</w:t>
      </w:r>
      <w:r>
        <w:rPr>
          <w:rFonts w:hint="eastAsia"/>
          <w:szCs w:val="24"/>
        </w:rPr>
        <w:t xml:space="preserve"> the </w:t>
      </w:r>
      <w:r w:rsidR="00F14F8F">
        <w:rPr>
          <w:rFonts w:hint="eastAsia"/>
          <w:szCs w:val="24"/>
        </w:rPr>
        <w:t xml:space="preserve">summer </w:t>
      </w:r>
      <w:r>
        <w:rPr>
          <w:rFonts w:hint="eastAsia"/>
          <w:szCs w:val="24"/>
        </w:rPr>
        <w:t>monsoonal rainfall (see Fig. 7.10)?</w:t>
      </w:r>
    </w:p>
    <w:p w:rsidR="00327771" w:rsidRDefault="002B6237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A strengthening of monsoon </w:t>
      </w:r>
      <w:proofErr w:type="spellStart"/>
      <w:r>
        <w:rPr>
          <w:rFonts w:hint="eastAsia"/>
          <w:szCs w:val="24"/>
        </w:rPr>
        <w:t>westerlies</w:t>
      </w:r>
      <w:proofErr w:type="spellEnd"/>
      <w:r>
        <w:rPr>
          <w:rFonts w:hint="eastAsia"/>
          <w:szCs w:val="24"/>
        </w:rPr>
        <w:t xml:space="preserve"> equatorward of a disturbance is favorable for its development into a tropical cyclone. The strengthening of monsoon </w:t>
      </w:r>
      <w:proofErr w:type="spellStart"/>
      <w:r>
        <w:rPr>
          <w:rFonts w:hint="eastAsia"/>
          <w:szCs w:val="24"/>
        </w:rPr>
        <w:t>westerlies</w:t>
      </w:r>
      <w:proofErr w:type="spellEnd"/>
      <w:r>
        <w:rPr>
          <w:rFonts w:hint="eastAsia"/>
          <w:szCs w:val="24"/>
        </w:rPr>
        <w:t xml:space="preserve"> usually follows the cold surge in the South China Sea.</w:t>
      </w:r>
    </w:p>
    <w:p w:rsidR="003B69DE" w:rsidRDefault="003B69DE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In some instances, the equatorward intrusion of </w:t>
      </w:r>
      <w:proofErr w:type="spellStart"/>
      <w:r>
        <w:rPr>
          <w:rFonts w:hint="eastAsia"/>
          <w:szCs w:val="24"/>
        </w:rPr>
        <w:t>midlatitude</w:t>
      </w:r>
      <w:proofErr w:type="spellEnd"/>
      <w:r>
        <w:rPr>
          <w:rFonts w:hint="eastAsia"/>
          <w:szCs w:val="24"/>
        </w:rPr>
        <w:t xml:space="preserve"> westerly disturbances can </w:t>
      </w:r>
      <w:r>
        <w:rPr>
          <w:szCs w:val="24"/>
        </w:rPr>
        <w:t>trigger</w:t>
      </w:r>
      <w:r>
        <w:rPr>
          <w:rFonts w:hint="eastAsia"/>
          <w:szCs w:val="24"/>
        </w:rPr>
        <w:t xml:space="preserve"> the monsoon onset and interact with the monsoon depressions and tropical cyclone.</w:t>
      </w:r>
    </w:p>
    <w:p w:rsidR="003B69DE" w:rsidRDefault="00BB4EBB" w:rsidP="005F5EF9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The southeastern parts of Australia (and Africa) are vulnerable to the occurrence of </w:t>
      </w:r>
      <w:r w:rsidRPr="00BB4EBB">
        <w:rPr>
          <w:rFonts w:hint="eastAsia"/>
          <w:i/>
          <w:szCs w:val="24"/>
        </w:rPr>
        <w:t xml:space="preserve">southerly and northerly </w:t>
      </w:r>
      <w:proofErr w:type="spellStart"/>
      <w:r w:rsidRPr="00BB4EBB">
        <w:rPr>
          <w:rFonts w:hint="eastAsia"/>
          <w:i/>
          <w:szCs w:val="24"/>
        </w:rPr>
        <w:t>bursters</w:t>
      </w:r>
      <w:proofErr w:type="spellEnd"/>
      <w:r>
        <w:rPr>
          <w:rFonts w:hint="eastAsia"/>
          <w:szCs w:val="24"/>
        </w:rPr>
        <w:t xml:space="preserve"> (resemble the </w:t>
      </w:r>
      <w:r w:rsidRPr="00BB4EBB">
        <w:rPr>
          <w:rFonts w:hint="eastAsia"/>
          <w:i/>
          <w:szCs w:val="24"/>
        </w:rPr>
        <w:t>Northeasters</w:t>
      </w:r>
      <w:r>
        <w:rPr>
          <w:rFonts w:hint="eastAsia"/>
          <w:szCs w:val="24"/>
        </w:rPr>
        <w:t xml:space="preserve"> occurred in the New England areas of North America we mentioned previously). When they happen, temperature at Sydney can fall from 38 to 18C in 30 min.</w:t>
      </w:r>
    </w:p>
    <w:p w:rsidR="00BB4EBB" w:rsidRPr="0090055E" w:rsidRDefault="0090055E" w:rsidP="0090055E">
      <w:pPr>
        <w:pStyle w:val="a3"/>
        <w:spacing w:beforeLines="50" w:before="180"/>
        <w:ind w:leftChars="0" w:left="357"/>
        <w:rPr>
          <w:b/>
          <w:szCs w:val="24"/>
        </w:rPr>
      </w:pPr>
      <w:r w:rsidRPr="0090055E">
        <w:rPr>
          <w:rFonts w:hint="eastAsia"/>
          <w:b/>
          <w:szCs w:val="24"/>
        </w:rPr>
        <w:t>Part 2: ENSO connection</w:t>
      </w:r>
      <w:r w:rsidR="00815B0A">
        <w:rPr>
          <w:rFonts w:hint="eastAsia"/>
          <w:b/>
          <w:szCs w:val="24"/>
        </w:rPr>
        <w:t xml:space="preserve"> and monsoon rainfall predictability</w:t>
      </w:r>
      <w:r w:rsidR="00447090">
        <w:rPr>
          <w:rFonts w:hint="eastAsia"/>
          <w:b/>
          <w:szCs w:val="24"/>
        </w:rPr>
        <w:t xml:space="preserve"> (read sections 1 and 2)</w:t>
      </w:r>
    </w:p>
    <w:p w:rsidR="0090055E" w:rsidRDefault="00397657" w:rsidP="0090055E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Both empirical (i.e., statistical) and dynamical forecast schemes exhibit better skill in the pre-monsoon winter/spring season than in the summer monsoon season.</w:t>
      </w:r>
    </w:p>
    <w:p w:rsidR="00397657" w:rsidRDefault="00731EA1" w:rsidP="0090055E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occurrence of El Nino in June-to-November has direct and indirect impacts on the reduction of rainfall across the northeastern tropical portions and south-to-southeastern portions of Australia, respectively.</w:t>
      </w:r>
      <w:r w:rsidR="006E5499">
        <w:rPr>
          <w:rFonts w:hint="eastAsia"/>
          <w:szCs w:val="24"/>
        </w:rPr>
        <w:t xml:space="preserve"> Where is the direct impact and indirect impact from</w:t>
      </w:r>
      <w:r w:rsidR="006E5499">
        <w:rPr>
          <w:szCs w:val="24"/>
        </w:rPr>
        <w:t>?</w:t>
      </w:r>
    </w:p>
    <w:p w:rsidR="006E5499" w:rsidRPr="006E5499" w:rsidRDefault="00AD5BEF" w:rsidP="006E5499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lastRenderedPageBreak/>
        <w:t>The impact of El Nino on Australian rainfall weakens dramatically</w:t>
      </w:r>
      <w:r w:rsidR="008D719E">
        <w:rPr>
          <w:rFonts w:hint="eastAsia"/>
          <w:szCs w:val="24"/>
        </w:rPr>
        <w:t xml:space="preserve"> from spring to summer as it peaks wherein.</w:t>
      </w:r>
      <w:r w:rsidR="006E5499">
        <w:rPr>
          <w:rFonts w:hint="eastAsia"/>
          <w:szCs w:val="24"/>
        </w:rPr>
        <w:t xml:space="preserve"> Meanwhile, rainfall leading to the onset of summer monsoon is more related to ENSO than is the rainfall that occurs after the onset. What would be the implication herein?</w:t>
      </w:r>
    </w:p>
    <w:p w:rsidR="00EA54E1" w:rsidRDefault="002429B9" w:rsidP="0090055E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 xml:space="preserve">Notions should be given to the discussions of the relative roles of remote vs. local SST anomalies to the Australian monsoon rainfall </w:t>
      </w:r>
      <w:r w:rsidR="003F08EB">
        <w:rPr>
          <w:rFonts w:hint="eastAsia"/>
          <w:szCs w:val="24"/>
        </w:rPr>
        <w:t xml:space="preserve">(AMR) </w:t>
      </w:r>
      <w:r>
        <w:rPr>
          <w:rFonts w:hint="eastAsia"/>
          <w:szCs w:val="24"/>
        </w:rPr>
        <w:t>from pre-monsoon season (SON) to monsoon season (DJF). See Fig. 3 (and Fig. 2, too).</w:t>
      </w:r>
    </w:p>
    <w:p w:rsidR="003F08EB" w:rsidRDefault="003F08EB" w:rsidP="0090055E">
      <w:pPr>
        <w:pStyle w:val="a3"/>
        <w:numPr>
          <w:ilvl w:val="0"/>
          <w:numId w:val="2"/>
        </w:numPr>
        <w:ind w:leftChars="0"/>
        <w:rPr>
          <w:rFonts w:hint="eastAsia"/>
          <w:szCs w:val="24"/>
        </w:rPr>
      </w:pPr>
      <w:r>
        <w:rPr>
          <w:rFonts w:hint="eastAsia"/>
          <w:szCs w:val="24"/>
        </w:rPr>
        <w:t>Seasonally varying air-sea interaction has been posited to explain the dramatic drop in correlation between AMR and local and remote SST in going from the pre-monsoon into monsoon season.</w:t>
      </w:r>
      <w:r w:rsidR="009F3AAD">
        <w:rPr>
          <w:rFonts w:hint="eastAsia"/>
          <w:szCs w:val="24"/>
        </w:rPr>
        <w:t xml:space="preserve"> The air-sea feedback is positive during the pre-monsoon but is negative after monsoon onset.</w:t>
      </w:r>
      <w:bookmarkStart w:id="0" w:name="_GoBack"/>
      <w:bookmarkEnd w:id="0"/>
    </w:p>
    <w:p w:rsidR="00447090" w:rsidRPr="0090055E" w:rsidRDefault="00447090" w:rsidP="00447090">
      <w:pPr>
        <w:pStyle w:val="a3"/>
        <w:ind w:leftChars="0" w:left="360"/>
        <w:rPr>
          <w:szCs w:val="24"/>
        </w:rPr>
      </w:pPr>
    </w:p>
    <w:sectPr w:rsidR="00447090" w:rsidRPr="009005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3F" w:rsidRDefault="00814D3F" w:rsidP="00EA54E1">
      <w:r>
        <w:separator/>
      </w:r>
    </w:p>
  </w:endnote>
  <w:endnote w:type="continuationSeparator" w:id="0">
    <w:p w:rsidR="00814D3F" w:rsidRDefault="00814D3F" w:rsidP="00EA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902992"/>
      <w:docPartObj>
        <w:docPartGallery w:val="Page Numbers (Bottom of Page)"/>
        <w:docPartUnique/>
      </w:docPartObj>
    </w:sdtPr>
    <w:sdtEndPr/>
    <w:sdtContent>
      <w:p w:rsidR="00EA54E1" w:rsidRDefault="00EA54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090" w:rsidRPr="00447090">
          <w:rPr>
            <w:noProof/>
            <w:lang w:val="zh-TW"/>
          </w:rPr>
          <w:t>2</w:t>
        </w:r>
        <w:r>
          <w:fldChar w:fldCharType="end"/>
        </w:r>
      </w:p>
    </w:sdtContent>
  </w:sdt>
  <w:p w:rsidR="00EA54E1" w:rsidRDefault="00EA5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3F" w:rsidRDefault="00814D3F" w:rsidP="00EA54E1">
      <w:r>
        <w:separator/>
      </w:r>
    </w:p>
  </w:footnote>
  <w:footnote w:type="continuationSeparator" w:id="0">
    <w:p w:rsidR="00814D3F" w:rsidRDefault="00814D3F" w:rsidP="00EA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6413B"/>
    <w:multiLevelType w:val="hybridMultilevel"/>
    <w:tmpl w:val="509E52C0"/>
    <w:lvl w:ilvl="0" w:tplc="9E52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B767E9"/>
    <w:multiLevelType w:val="hybridMultilevel"/>
    <w:tmpl w:val="347C01CA"/>
    <w:lvl w:ilvl="0" w:tplc="DA9E7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8E"/>
    <w:rsid w:val="00036ED0"/>
    <w:rsid w:val="00104E08"/>
    <w:rsid w:val="002429B9"/>
    <w:rsid w:val="002B6237"/>
    <w:rsid w:val="002D5016"/>
    <w:rsid w:val="00327771"/>
    <w:rsid w:val="00397657"/>
    <w:rsid w:val="003B69DE"/>
    <w:rsid w:val="003F08EB"/>
    <w:rsid w:val="0040537B"/>
    <w:rsid w:val="00420862"/>
    <w:rsid w:val="00447090"/>
    <w:rsid w:val="005408FB"/>
    <w:rsid w:val="005F5EF9"/>
    <w:rsid w:val="006E5499"/>
    <w:rsid w:val="00731EA1"/>
    <w:rsid w:val="007A72AD"/>
    <w:rsid w:val="00814D3F"/>
    <w:rsid w:val="00815B0A"/>
    <w:rsid w:val="00877564"/>
    <w:rsid w:val="008D719E"/>
    <w:rsid w:val="0090055E"/>
    <w:rsid w:val="00914A8E"/>
    <w:rsid w:val="009F3AAD"/>
    <w:rsid w:val="00AC2B30"/>
    <w:rsid w:val="00AD5BEF"/>
    <w:rsid w:val="00BB4EBB"/>
    <w:rsid w:val="00BC6BA7"/>
    <w:rsid w:val="00EA54E1"/>
    <w:rsid w:val="00F14F8F"/>
    <w:rsid w:val="00F9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4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4E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A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A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54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54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54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18</cp:revision>
  <dcterms:created xsi:type="dcterms:W3CDTF">2015-04-12T02:20:00Z</dcterms:created>
  <dcterms:modified xsi:type="dcterms:W3CDTF">2015-04-13T00:12:00Z</dcterms:modified>
</cp:coreProperties>
</file>